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1FE" w:rsidRPr="00A9659C" w:rsidRDefault="002321FE" w:rsidP="002321FE">
      <w:pPr>
        <w:spacing w:line="480" w:lineRule="auto"/>
        <w:jc w:val="center"/>
        <w:rPr>
          <w:rFonts w:cstheme="minorHAnsi"/>
          <w:b/>
          <w:bCs/>
          <w:sz w:val="24"/>
          <w:szCs w:val="24"/>
        </w:rPr>
      </w:pPr>
    </w:p>
    <w:p w:rsidR="002321FE" w:rsidRPr="00A9659C" w:rsidRDefault="002321FE" w:rsidP="002321FE">
      <w:pPr>
        <w:spacing w:line="480" w:lineRule="auto"/>
        <w:jc w:val="center"/>
        <w:rPr>
          <w:rFonts w:cstheme="minorHAnsi"/>
          <w:b/>
          <w:bCs/>
          <w:sz w:val="24"/>
          <w:szCs w:val="24"/>
        </w:rPr>
      </w:pPr>
    </w:p>
    <w:p w:rsidR="002321FE" w:rsidRPr="00A9659C" w:rsidRDefault="002321FE" w:rsidP="002321FE">
      <w:pPr>
        <w:spacing w:line="480" w:lineRule="auto"/>
        <w:jc w:val="center"/>
        <w:rPr>
          <w:rFonts w:cstheme="minorHAnsi"/>
          <w:b/>
          <w:bCs/>
          <w:sz w:val="24"/>
          <w:szCs w:val="24"/>
        </w:rPr>
      </w:pPr>
    </w:p>
    <w:p w:rsidR="002321FE" w:rsidRPr="00A9659C" w:rsidRDefault="002321FE" w:rsidP="002321FE">
      <w:pPr>
        <w:spacing w:line="480" w:lineRule="auto"/>
        <w:jc w:val="center"/>
        <w:rPr>
          <w:rFonts w:cstheme="minorHAnsi"/>
          <w:b/>
          <w:bCs/>
          <w:sz w:val="24"/>
          <w:szCs w:val="24"/>
        </w:rPr>
      </w:pPr>
      <w:r w:rsidRPr="00A9659C">
        <w:rPr>
          <w:rFonts w:cstheme="minorHAnsi"/>
          <w:b/>
          <w:bCs/>
          <w:sz w:val="24"/>
          <w:szCs w:val="24"/>
        </w:rPr>
        <w:t>Patient Composite Assignment</w:t>
      </w:r>
    </w:p>
    <w:p w:rsidR="00E576ED" w:rsidRPr="00A9659C" w:rsidRDefault="00E576ED" w:rsidP="00BD3140">
      <w:pPr>
        <w:spacing w:line="480" w:lineRule="auto"/>
        <w:rPr>
          <w:rFonts w:cstheme="minorHAnsi"/>
          <w:b/>
          <w:bCs/>
          <w:sz w:val="24"/>
          <w:szCs w:val="24"/>
        </w:rPr>
      </w:pPr>
    </w:p>
    <w:p w:rsidR="002321FE" w:rsidRPr="00A9659C" w:rsidRDefault="002321FE" w:rsidP="002321FE">
      <w:pPr>
        <w:spacing w:line="480" w:lineRule="auto"/>
        <w:jc w:val="center"/>
        <w:rPr>
          <w:rFonts w:cstheme="minorHAnsi"/>
          <w:b/>
          <w:bCs/>
          <w:sz w:val="24"/>
          <w:szCs w:val="24"/>
        </w:rPr>
      </w:pPr>
    </w:p>
    <w:p w:rsidR="002321FE" w:rsidRPr="00A9659C" w:rsidRDefault="002321FE" w:rsidP="002321FE">
      <w:pPr>
        <w:spacing w:line="480" w:lineRule="auto"/>
        <w:jc w:val="center"/>
        <w:rPr>
          <w:rFonts w:cstheme="minorHAnsi"/>
          <w:b/>
          <w:bCs/>
          <w:sz w:val="24"/>
          <w:szCs w:val="24"/>
        </w:rPr>
      </w:pPr>
      <w:r w:rsidRPr="00A9659C">
        <w:rPr>
          <w:rFonts w:cstheme="minorHAnsi"/>
          <w:b/>
          <w:bCs/>
          <w:sz w:val="24"/>
          <w:szCs w:val="24"/>
        </w:rPr>
        <w:t xml:space="preserve">Name of Student </w:t>
      </w:r>
    </w:p>
    <w:p w:rsidR="002321FE" w:rsidRPr="00A9659C" w:rsidRDefault="002321FE" w:rsidP="002321FE">
      <w:pPr>
        <w:spacing w:line="480" w:lineRule="auto"/>
        <w:jc w:val="center"/>
        <w:rPr>
          <w:rFonts w:cstheme="minorHAnsi"/>
          <w:b/>
          <w:bCs/>
          <w:sz w:val="24"/>
          <w:szCs w:val="24"/>
        </w:rPr>
      </w:pPr>
      <w:r w:rsidRPr="00A9659C">
        <w:rPr>
          <w:rFonts w:cstheme="minorHAnsi"/>
          <w:b/>
          <w:bCs/>
          <w:sz w:val="24"/>
          <w:szCs w:val="24"/>
        </w:rPr>
        <w:t xml:space="preserve">Affiliation </w:t>
      </w:r>
    </w:p>
    <w:p w:rsidR="002321FE" w:rsidRPr="00A9659C" w:rsidRDefault="002321FE" w:rsidP="002321FE">
      <w:pPr>
        <w:spacing w:line="480" w:lineRule="auto"/>
        <w:jc w:val="center"/>
        <w:rPr>
          <w:rFonts w:cstheme="minorHAnsi"/>
          <w:b/>
          <w:bCs/>
          <w:sz w:val="24"/>
          <w:szCs w:val="24"/>
        </w:rPr>
      </w:pPr>
      <w:r w:rsidRPr="00A9659C">
        <w:rPr>
          <w:rFonts w:cstheme="minorHAnsi"/>
          <w:b/>
          <w:bCs/>
          <w:sz w:val="24"/>
          <w:szCs w:val="24"/>
        </w:rPr>
        <w:t>Course name</w:t>
      </w:r>
    </w:p>
    <w:p w:rsidR="002321FE" w:rsidRPr="00A9659C" w:rsidRDefault="002321FE" w:rsidP="002321FE">
      <w:pPr>
        <w:spacing w:line="480" w:lineRule="auto"/>
        <w:jc w:val="center"/>
        <w:rPr>
          <w:rFonts w:cstheme="minorHAnsi"/>
          <w:b/>
          <w:bCs/>
          <w:sz w:val="24"/>
          <w:szCs w:val="24"/>
        </w:rPr>
      </w:pPr>
      <w:r w:rsidRPr="00A9659C">
        <w:rPr>
          <w:rFonts w:cstheme="minorHAnsi"/>
          <w:b/>
          <w:bCs/>
          <w:sz w:val="24"/>
          <w:szCs w:val="24"/>
        </w:rPr>
        <w:t xml:space="preserve">Instructor name </w:t>
      </w:r>
    </w:p>
    <w:p w:rsidR="002321FE" w:rsidRPr="00A9659C" w:rsidRDefault="002321FE" w:rsidP="002321FE">
      <w:pPr>
        <w:spacing w:line="480" w:lineRule="auto"/>
        <w:jc w:val="center"/>
        <w:rPr>
          <w:rFonts w:cstheme="minorHAnsi"/>
          <w:b/>
          <w:bCs/>
          <w:sz w:val="24"/>
          <w:szCs w:val="24"/>
        </w:rPr>
      </w:pPr>
      <w:r w:rsidRPr="00A9659C">
        <w:rPr>
          <w:rFonts w:cstheme="minorHAnsi"/>
          <w:b/>
          <w:bCs/>
          <w:sz w:val="24"/>
          <w:szCs w:val="24"/>
        </w:rPr>
        <w:t>Due Date</w:t>
      </w:r>
    </w:p>
    <w:p w:rsidR="00C53AE3" w:rsidRPr="00A9659C" w:rsidRDefault="00C53AE3">
      <w:pPr>
        <w:rPr>
          <w:rFonts w:cstheme="minorHAnsi"/>
        </w:rPr>
      </w:pPr>
    </w:p>
    <w:p w:rsidR="00C74408" w:rsidRPr="00A9659C" w:rsidRDefault="00C74408">
      <w:pPr>
        <w:rPr>
          <w:rFonts w:cstheme="minorHAnsi"/>
        </w:rPr>
      </w:pPr>
    </w:p>
    <w:p w:rsidR="00C74408" w:rsidRPr="00A9659C" w:rsidRDefault="00C74408">
      <w:pPr>
        <w:rPr>
          <w:rFonts w:cstheme="minorHAnsi"/>
        </w:rPr>
      </w:pPr>
    </w:p>
    <w:p w:rsidR="00C74408" w:rsidRDefault="00C74408">
      <w:pPr>
        <w:rPr>
          <w:rFonts w:cstheme="minorHAnsi"/>
        </w:rPr>
      </w:pPr>
    </w:p>
    <w:p w:rsidR="00BD3140" w:rsidRDefault="00BD3140">
      <w:pPr>
        <w:rPr>
          <w:rFonts w:cstheme="minorHAnsi"/>
        </w:rPr>
      </w:pPr>
    </w:p>
    <w:p w:rsidR="00BD3140" w:rsidRDefault="00BD3140">
      <w:pPr>
        <w:rPr>
          <w:rFonts w:cstheme="minorHAnsi"/>
        </w:rPr>
      </w:pPr>
    </w:p>
    <w:p w:rsidR="00BD3140" w:rsidRPr="00A9659C" w:rsidRDefault="00BD3140">
      <w:pPr>
        <w:rPr>
          <w:rFonts w:cstheme="minorHAnsi"/>
        </w:rPr>
      </w:pPr>
    </w:p>
    <w:p w:rsidR="00C74408" w:rsidRPr="00A9659C" w:rsidRDefault="00C74408">
      <w:pPr>
        <w:rPr>
          <w:rFonts w:cstheme="minorHAnsi"/>
        </w:rPr>
      </w:pPr>
    </w:p>
    <w:p w:rsidR="00C74408" w:rsidRPr="00A9659C" w:rsidRDefault="008F4B0A" w:rsidP="008F4B0A">
      <w:pPr>
        <w:spacing w:line="480" w:lineRule="auto"/>
        <w:jc w:val="center"/>
        <w:rPr>
          <w:rFonts w:cstheme="minorHAnsi"/>
          <w:b/>
          <w:bCs/>
          <w:sz w:val="24"/>
          <w:szCs w:val="24"/>
        </w:rPr>
      </w:pPr>
      <w:r w:rsidRPr="00A9659C">
        <w:rPr>
          <w:rFonts w:cstheme="minorHAnsi"/>
          <w:b/>
          <w:bCs/>
          <w:sz w:val="24"/>
          <w:szCs w:val="24"/>
        </w:rPr>
        <w:lastRenderedPageBreak/>
        <w:t>Case Scenario Responses</w:t>
      </w:r>
    </w:p>
    <w:p w:rsidR="008E7E43" w:rsidRPr="00A9659C" w:rsidRDefault="008E7E43" w:rsidP="008E7E43">
      <w:pPr>
        <w:spacing w:line="480" w:lineRule="auto"/>
        <w:jc w:val="center"/>
        <w:rPr>
          <w:rFonts w:cstheme="minorHAnsi"/>
          <w:b/>
          <w:bCs/>
          <w:sz w:val="24"/>
          <w:szCs w:val="24"/>
        </w:rPr>
      </w:pPr>
      <w:r w:rsidRPr="00A9659C">
        <w:rPr>
          <w:rFonts w:cstheme="minorHAnsi"/>
          <w:b/>
          <w:bCs/>
          <w:sz w:val="24"/>
          <w:szCs w:val="24"/>
        </w:rPr>
        <w:t>Communication with Patient with Alzheimer's</w:t>
      </w:r>
    </w:p>
    <w:p w:rsidR="008F4B0A" w:rsidRPr="00A9659C" w:rsidRDefault="008E7E43" w:rsidP="008E7E43">
      <w:pPr>
        <w:spacing w:line="480" w:lineRule="auto"/>
        <w:ind w:firstLine="720"/>
        <w:rPr>
          <w:rFonts w:cstheme="minorHAnsi"/>
          <w:sz w:val="24"/>
          <w:szCs w:val="24"/>
        </w:rPr>
      </w:pPr>
      <w:r w:rsidRPr="00A9659C">
        <w:rPr>
          <w:rFonts w:cstheme="minorHAnsi"/>
          <w:sz w:val="24"/>
          <w:szCs w:val="24"/>
        </w:rPr>
        <w:t>Mr. Singh has been suffering from Alzheimer's which affects the speaking ability of the individual and also negatively affects the memory and cognitive abilities (Swan et al., 2018</w:t>
      </w:r>
      <w:r w:rsidR="00AB555A">
        <w:rPr>
          <w:rFonts w:cstheme="minorHAnsi"/>
          <w:sz w:val="24"/>
          <w:szCs w:val="24"/>
        </w:rPr>
        <w:t>, p. 837</w:t>
      </w:r>
      <w:r w:rsidRPr="00A9659C">
        <w:rPr>
          <w:rFonts w:cstheme="minorHAnsi"/>
          <w:sz w:val="24"/>
          <w:szCs w:val="24"/>
        </w:rPr>
        <w:t>). Based on cognitive impairment, effective communication strategies are needed to be used for better exchange of information. In order to communicate with Mr. Singh, I will use short and simple sentences and incorporate non-verbal cues for example, facial expressions, and kind touches to build a trusting relationship with him (Swan et al., 2018</w:t>
      </w:r>
      <w:r w:rsidR="00AB555A">
        <w:rPr>
          <w:rFonts w:cstheme="minorHAnsi"/>
          <w:sz w:val="24"/>
          <w:szCs w:val="24"/>
        </w:rPr>
        <w:t>, p. 837</w:t>
      </w:r>
      <w:r w:rsidRPr="00A9659C">
        <w:rPr>
          <w:rFonts w:cstheme="minorHAnsi"/>
          <w:sz w:val="24"/>
          <w:szCs w:val="24"/>
        </w:rPr>
        <w:t>). Patients with Alzheimer's tend to experience frustration (Swan et al., 2018</w:t>
      </w:r>
      <w:r w:rsidR="00AB555A">
        <w:rPr>
          <w:rFonts w:cstheme="minorHAnsi"/>
          <w:sz w:val="24"/>
          <w:szCs w:val="24"/>
        </w:rPr>
        <w:t>, p. 837</w:t>
      </w:r>
      <w:r w:rsidRPr="00A9659C">
        <w:rPr>
          <w:rFonts w:cstheme="minorHAnsi"/>
          <w:sz w:val="24"/>
          <w:szCs w:val="24"/>
        </w:rPr>
        <w:t xml:space="preserve">) </w:t>
      </w:r>
      <w:proofErr w:type="gramStart"/>
      <w:r w:rsidRPr="00A9659C">
        <w:rPr>
          <w:rFonts w:cstheme="minorHAnsi"/>
          <w:sz w:val="24"/>
          <w:szCs w:val="24"/>
        </w:rPr>
        <w:t>however,</w:t>
      </w:r>
      <w:proofErr w:type="gramEnd"/>
      <w:r w:rsidRPr="00A9659C">
        <w:rPr>
          <w:rFonts w:cstheme="minorHAnsi"/>
          <w:sz w:val="24"/>
          <w:szCs w:val="24"/>
        </w:rPr>
        <w:t xml:space="preserve"> the use of friendly facial expressions and simple sentences will be helpful to reduce frustration. During the </w:t>
      </w:r>
      <w:r w:rsidR="00AE0ACE">
        <w:rPr>
          <w:rFonts w:cstheme="minorHAnsi"/>
          <w:sz w:val="24"/>
          <w:szCs w:val="24"/>
        </w:rPr>
        <w:t>communication, I will avoid corr</w:t>
      </w:r>
      <w:r w:rsidRPr="00A9659C">
        <w:rPr>
          <w:rFonts w:cstheme="minorHAnsi"/>
          <w:sz w:val="24"/>
          <w:szCs w:val="24"/>
        </w:rPr>
        <w:t>ecting with Mr. Singh to prevent any confusion. Similarly, I will talk slowly in a polite manner. Similarly, while communicating the patient must be provided with ample time to respond (Swan et al., 2018</w:t>
      </w:r>
      <w:r w:rsidR="00AB555A">
        <w:rPr>
          <w:rFonts w:cstheme="minorHAnsi"/>
          <w:sz w:val="24"/>
          <w:szCs w:val="24"/>
        </w:rPr>
        <w:t>, p. 837</w:t>
      </w:r>
      <w:r w:rsidRPr="00A9659C">
        <w:rPr>
          <w:rFonts w:cstheme="minorHAnsi"/>
          <w:sz w:val="24"/>
          <w:szCs w:val="24"/>
        </w:rPr>
        <w:t>). I will incorporate this aspect and acknowledge the feelings and emotions of the patient. I believe that these aspects will challenge the communication gap and ensure a better exchange of information.</w:t>
      </w:r>
    </w:p>
    <w:p w:rsidR="00244502" w:rsidRPr="00A9659C" w:rsidRDefault="00244502" w:rsidP="00244502">
      <w:pPr>
        <w:spacing w:line="480" w:lineRule="auto"/>
        <w:jc w:val="center"/>
        <w:rPr>
          <w:rFonts w:cstheme="minorHAnsi"/>
          <w:b/>
          <w:bCs/>
          <w:sz w:val="24"/>
          <w:szCs w:val="24"/>
        </w:rPr>
      </w:pPr>
      <w:r w:rsidRPr="00A9659C">
        <w:rPr>
          <w:rFonts w:cstheme="minorHAnsi"/>
          <w:b/>
          <w:bCs/>
          <w:sz w:val="24"/>
          <w:szCs w:val="24"/>
        </w:rPr>
        <w:t>Denture-Related Sores</w:t>
      </w:r>
    </w:p>
    <w:p w:rsidR="00244502" w:rsidRPr="00A9659C" w:rsidRDefault="00244502" w:rsidP="00244502">
      <w:pPr>
        <w:spacing w:line="480" w:lineRule="auto"/>
        <w:ind w:firstLine="720"/>
        <w:rPr>
          <w:rFonts w:cstheme="minorHAnsi"/>
          <w:sz w:val="24"/>
          <w:szCs w:val="24"/>
        </w:rPr>
      </w:pPr>
      <w:r w:rsidRPr="00A9659C">
        <w:rPr>
          <w:rFonts w:cstheme="minorHAnsi"/>
          <w:sz w:val="24"/>
          <w:szCs w:val="24"/>
        </w:rPr>
        <w:t xml:space="preserve">The presence of sores in the </w:t>
      </w:r>
      <w:proofErr w:type="spellStart"/>
      <w:r w:rsidRPr="00A9659C">
        <w:rPr>
          <w:rFonts w:cstheme="minorHAnsi"/>
          <w:sz w:val="24"/>
          <w:szCs w:val="24"/>
        </w:rPr>
        <w:t>gumline</w:t>
      </w:r>
      <w:proofErr w:type="spellEnd"/>
      <w:r w:rsidRPr="00A9659C">
        <w:rPr>
          <w:rFonts w:cstheme="minorHAnsi"/>
          <w:sz w:val="24"/>
          <w:szCs w:val="24"/>
        </w:rPr>
        <w:t xml:space="preserve"> suggests the symptom of denture-related stomatitis. This issue is very common among the elders because of poor oral hygiene. Denture-related stomatitis is characterized by the appearance of erythema areas as well as inflammation in palatal mucosa because of denture. 15% to 75% of denture wearers tend to experience this health condition and a small percentage of patients report itching, pain, or burning sensation </w:t>
      </w:r>
      <w:r w:rsidRPr="00A9659C">
        <w:rPr>
          <w:rFonts w:cstheme="minorHAnsi"/>
          <w:sz w:val="24"/>
          <w:szCs w:val="24"/>
        </w:rPr>
        <w:lastRenderedPageBreak/>
        <w:t>(Rodriguez-</w:t>
      </w:r>
      <w:proofErr w:type="spellStart"/>
      <w:r w:rsidRPr="00A9659C">
        <w:rPr>
          <w:rFonts w:cstheme="minorHAnsi"/>
          <w:sz w:val="24"/>
          <w:szCs w:val="24"/>
        </w:rPr>
        <w:t>Archilla</w:t>
      </w:r>
      <w:proofErr w:type="spellEnd"/>
      <w:r w:rsidRPr="00A9659C">
        <w:rPr>
          <w:rFonts w:cstheme="minorHAnsi"/>
          <w:sz w:val="24"/>
          <w:szCs w:val="24"/>
        </w:rPr>
        <w:t xml:space="preserve"> &amp; Garcia-Galan, 2020</w:t>
      </w:r>
      <w:r w:rsidR="009D60B6">
        <w:rPr>
          <w:rFonts w:cstheme="minorHAnsi"/>
          <w:sz w:val="24"/>
          <w:szCs w:val="24"/>
        </w:rPr>
        <w:t>, p. 37</w:t>
      </w:r>
      <w:r w:rsidRPr="00A9659C">
        <w:rPr>
          <w:rFonts w:cstheme="minorHAnsi"/>
          <w:sz w:val="24"/>
          <w:szCs w:val="24"/>
        </w:rPr>
        <w:t>). Denture-related stomatitis increases the risk of fungal infection due to this, prompt intervention is needed. The next step is to collaborate with</w:t>
      </w:r>
      <w:r w:rsidR="009F4A21">
        <w:rPr>
          <w:rFonts w:cstheme="minorHAnsi"/>
          <w:sz w:val="24"/>
          <w:szCs w:val="24"/>
        </w:rPr>
        <w:t xml:space="preserve"> the dental team and offer Mr. </w:t>
      </w:r>
      <w:r w:rsidRPr="00A9659C">
        <w:rPr>
          <w:rFonts w:cstheme="minorHAnsi"/>
          <w:sz w:val="24"/>
          <w:szCs w:val="24"/>
        </w:rPr>
        <w:t>Singh antiseptic solutions to rinse his mouth. Similarly, Mr. Singh will be provided with information about oral hygiene and oral hygiene will be integrated into the care plan. I will continually monitor the symptoms of denture-related stomatitis to prevent any further complications.</w:t>
      </w:r>
    </w:p>
    <w:p w:rsidR="000A4CD8" w:rsidRPr="00A9659C" w:rsidRDefault="000A4CD8" w:rsidP="000A4CD8">
      <w:pPr>
        <w:spacing w:line="480" w:lineRule="auto"/>
        <w:jc w:val="center"/>
        <w:rPr>
          <w:rFonts w:cstheme="minorHAnsi"/>
          <w:b/>
          <w:bCs/>
          <w:sz w:val="24"/>
          <w:szCs w:val="24"/>
        </w:rPr>
      </w:pPr>
      <w:r w:rsidRPr="00A9659C">
        <w:rPr>
          <w:rFonts w:cstheme="minorHAnsi"/>
          <w:b/>
          <w:bCs/>
          <w:sz w:val="24"/>
          <w:szCs w:val="24"/>
        </w:rPr>
        <w:t>Assisting with Personal Care</w:t>
      </w:r>
    </w:p>
    <w:p w:rsidR="000A4CD8" w:rsidRPr="00A9659C" w:rsidRDefault="000A4CD8" w:rsidP="000A4CD8">
      <w:pPr>
        <w:spacing w:line="480" w:lineRule="auto"/>
        <w:ind w:firstLine="720"/>
        <w:rPr>
          <w:rFonts w:cstheme="minorHAnsi"/>
          <w:sz w:val="24"/>
          <w:szCs w:val="24"/>
        </w:rPr>
      </w:pPr>
      <w:r w:rsidRPr="00A9659C">
        <w:rPr>
          <w:rFonts w:cstheme="minorHAnsi"/>
          <w:sz w:val="24"/>
          <w:szCs w:val="24"/>
        </w:rPr>
        <w:t>I will encourage Mr. Singh to use his left side more frequently to perform small tasks. Similarly, I will arrange his stuff, for example, clothes, towels, and brush on the left side so that he could easily access them. I will incorporate unilateral hand training to promote his autonomy and functional performance. Unilateral hand training helps patients to participate in daily tasks like cooking, dressing, toileting, eating, and showering independently (Troianello et al., 2019</w:t>
      </w:r>
      <w:r w:rsidR="0073712F">
        <w:rPr>
          <w:rFonts w:cstheme="minorHAnsi"/>
          <w:sz w:val="24"/>
          <w:szCs w:val="24"/>
        </w:rPr>
        <w:t>, pp. 26-27</w:t>
      </w:r>
      <w:r w:rsidRPr="00A9659C">
        <w:rPr>
          <w:rFonts w:cstheme="minorHAnsi"/>
          <w:sz w:val="24"/>
          <w:szCs w:val="24"/>
        </w:rPr>
        <w:t xml:space="preserve">). Similarly, I will encourage the use of adaptive equipment for example long-handled brush, </w:t>
      </w:r>
      <w:proofErr w:type="spellStart"/>
      <w:r w:rsidRPr="00A9659C">
        <w:rPr>
          <w:rFonts w:cstheme="minorHAnsi"/>
          <w:sz w:val="24"/>
          <w:szCs w:val="24"/>
        </w:rPr>
        <w:t>etc</w:t>
      </w:r>
      <w:proofErr w:type="spellEnd"/>
      <w:r w:rsidRPr="00A9659C">
        <w:rPr>
          <w:rFonts w:cstheme="minorHAnsi"/>
          <w:sz w:val="24"/>
          <w:szCs w:val="24"/>
        </w:rPr>
        <w:t xml:space="preserve"> to ensure that he could perform the self-</w:t>
      </w:r>
      <w:r w:rsidR="009F4A21" w:rsidRPr="00A9659C">
        <w:rPr>
          <w:rFonts w:cstheme="minorHAnsi"/>
          <w:sz w:val="24"/>
          <w:szCs w:val="24"/>
        </w:rPr>
        <w:t>grooming</w:t>
      </w:r>
      <w:r w:rsidRPr="00A9659C">
        <w:rPr>
          <w:rFonts w:cstheme="minorHAnsi"/>
          <w:sz w:val="24"/>
          <w:szCs w:val="24"/>
        </w:rPr>
        <w:t xml:space="preserve"> tasks independently. I will take the patient-centered approach and foster a sense of control to improve the mood of Mr. Singh. I believe that these aspects will improve his self-esteem to safely manage small tasks.</w:t>
      </w:r>
    </w:p>
    <w:p w:rsidR="008444C1" w:rsidRPr="00A9659C" w:rsidRDefault="008444C1" w:rsidP="008444C1">
      <w:pPr>
        <w:spacing w:line="480" w:lineRule="auto"/>
        <w:jc w:val="center"/>
        <w:rPr>
          <w:rFonts w:cstheme="minorHAnsi"/>
          <w:b/>
          <w:bCs/>
          <w:sz w:val="24"/>
          <w:szCs w:val="24"/>
        </w:rPr>
      </w:pPr>
      <w:r w:rsidRPr="00A9659C">
        <w:rPr>
          <w:rFonts w:cstheme="minorHAnsi"/>
          <w:b/>
          <w:bCs/>
          <w:sz w:val="24"/>
          <w:szCs w:val="24"/>
        </w:rPr>
        <w:t>Relational Inquiry Perspective and Breakfast Handling</w:t>
      </w:r>
    </w:p>
    <w:p w:rsidR="008444C1" w:rsidRPr="00A9659C" w:rsidRDefault="008444C1" w:rsidP="005F15E5">
      <w:pPr>
        <w:spacing w:line="480" w:lineRule="auto"/>
        <w:ind w:firstLine="720"/>
        <w:rPr>
          <w:rFonts w:cstheme="minorHAnsi"/>
          <w:sz w:val="24"/>
          <w:szCs w:val="24"/>
        </w:rPr>
      </w:pPr>
      <w:r w:rsidRPr="00A9659C">
        <w:rPr>
          <w:rFonts w:cstheme="minorHAnsi"/>
          <w:sz w:val="24"/>
          <w:szCs w:val="24"/>
        </w:rPr>
        <w:t>The relational inquiry perspective informs nurses that they must do a critical analysis of the situational contexts, experiences of individuals, and knowledge to shape nursing actions. This perspective allows nurses to move beyond physical suffering and understand the psychological and emotional suffering of the patients (</w:t>
      </w:r>
      <w:proofErr w:type="spellStart"/>
      <w:r w:rsidRPr="00A9659C">
        <w:rPr>
          <w:rFonts w:cstheme="minorHAnsi"/>
          <w:sz w:val="24"/>
          <w:szCs w:val="24"/>
        </w:rPr>
        <w:t>Younas</w:t>
      </w:r>
      <w:proofErr w:type="spellEnd"/>
      <w:r w:rsidRPr="00A9659C">
        <w:rPr>
          <w:rFonts w:cstheme="minorHAnsi"/>
          <w:sz w:val="24"/>
          <w:szCs w:val="24"/>
        </w:rPr>
        <w:t>, 2020</w:t>
      </w:r>
      <w:r w:rsidR="00C54139">
        <w:rPr>
          <w:rFonts w:cstheme="minorHAnsi"/>
          <w:sz w:val="24"/>
          <w:szCs w:val="24"/>
        </w:rPr>
        <w:t>, p. 935</w:t>
      </w:r>
      <w:r w:rsidRPr="00A9659C">
        <w:rPr>
          <w:rFonts w:cstheme="minorHAnsi"/>
          <w:sz w:val="24"/>
          <w:szCs w:val="24"/>
        </w:rPr>
        <w:t xml:space="preserve">). Through the lens </w:t>
      </w:r>
      <w:r w:rsidRPr="00A9659C">
        <w:rPr>
          <w:rFonts w:cstheme="minorHAnsi"/>
          <w:sz w:val="24"/>
          <w:szCs w:val="24"/>
        </w:rPr>
        <w:lastRenderedPageBreak/>
        <w:t>of a relational inquiry perspective, I will understand the factors that can contribute to the agitation of Mr. Singh. Usually, patients with Alzheimer's experience confusion because of unfamiliar routines.  Add</w:t>
      </w:r>
      <w:r w:rsidR="009F4A21">
        <w:rPr>
          <w:rFonts w:cstheme="minorHAnsi"/>
          <w:sz w:val="24"/>
          <w:szCs w:val="24"/>
        </w:rPr>
        <w:t>itionally, noise or sensory aspects</w:t>
      </w:r>
      <w:r w:rsidR="005F15E5">
        <w:rPr>
          <w:rFonts w:cstheme="minorHAnsi"/>
          <w:sz w:val="24"/>
          <w:szCs w:val="24"/>
        </w:rPr>
        <w:t xml:space="preserve"> also cause </w:t>
      </w:r>
      <w:r w:rsidRPr="00A9659C">
        <w:rPr>
          <w:rFonts w:cstheme="minorHAnsi"/>
          <w:sz w:val="24"/>
          <w:szCs w:val="24"/>
        </w:rPr>
        <w:t>agitation (Swan et al., 2018</w:t>
      </w:r>
      <w:r w:rsidR="004E513E">
        <w:rPr>
          <w:rFonts w:cstheme="minorHAnsi"/>
          <w:sz w:val="24"/>
          <w:szCs w:val="24"/>
        </w:rPr>
        <w:t>, p. 836</w:t>
      </w:r>
      <w:r w:rsidRPr="00A9659C">
        <w:rPr>
          <w:rFonts w:cstheme="minorHAnsi"/>
          <w:sz w:val="24"/>
          <w:szCs w:val="24"/>
        </w:rPr>
        <w:t xml:space="preserve">). Thus, I will validate his feelings and make him feel heard and understood. I will ensure that he takes his meal in a distraction-free environment and also ensure </w:t>
      </w:r>
      <w:r w:rsidR="005F15E5">
        <w:rPr>
          <w:rFonts w:cstheme="minorHAnsi"/>
          <w:sz w:val="24"/>
          <w:szCs w:val="24"/>
        </w:rPr>
        <w:t>that</w:t>
      </w:r>
      <w:r w:rsidRPr="00A9659C">
        <w:rPr>
          <w:rFonts w:cstheme="minorHAnsi"/>
          <w:sz w:val="24"/>
          <w:szCs w:val="24"/>
        </w:rPr>
        <w:t xml:space="preserve"> the room has no overwhelming lighting. All these steps will support me to handle the situation effectively.</w:t>
      </w:r>
    </w:p>
    <w:p w:rsidR="00F21E99" w:rsidRPr="00A9659C" w:rsidRDefault="00F21E99" w:rsidP="00F21E99">
      <w:pPr>
        <w:spacing w:line="480" w:lineRule="auto"/>
        <w:jc w:val="center"/>
        <w:rPr>
          <w:rFonts w:cstheme="minorHAnsi"/>
          <w:b/>
          <w:bCs/>
          <w:sz w:val="24"/>
          <w:szCs w:val="24"/>
        </w:rPr>
      </w:pPr>
      <w:r w:rsidRPr="00A9659C">
        <w:rPr>
          <w:rFonts w:cstheme="minorHAnsi"/>
          <w:b/>
          <w:bCs/>
          <w:sz w:val="24"/>
          <w:szCs w:val="24"/>
        </w:rPr>
        <w:t>Cataracts and Assistance</w:t>
      </w:r>
    </w:p>
    <w:p w:rsidR="00F21E99" w:rsidRDefault="00F21E99" w:rsidP="00F21E99">
      <w:pPr>
        <w:spacing w:line="480" w:lineRule="auto"/>
        <w:ind w:firstLine="720"/>
        <w:rPr>
          <w:rFonts w:cstheme="minorHAnsi"/>
          <w:sz w:val="24"/>
          <w:szCs w:val="24"/>
        </w:rPr>
      </w:pPr>
      <w:r w:rsidRPr="00A9659C">
        <w:rPr>
          <w:rFonts w:cstheme="minorHAnsi"/>
          <w:sz w:val="24"/>
          <w:szCs w:val="24"/>
        </w:rPr>
        <w:t>Cataracts are a leading cause of poor vision across the globe and affect the life quality and expect</w:t>
      </w:r>
      <w:r w:rsidR="00607792">
        <w:rPr>
          <w:rFonts w:cstheme="minorHAnsi"/>
          <w:sz w:val="24"/>
          <w:szCs w:val="24"/>
        </w:rPr>
        <w:t>ancy of the patients (</w:t>
      </w:r>
      <w:proofErr w:type="spellStart"/>
      <w:r w:rsidR="00607792">
        <w:rPr>
          <w:rFonts w:cstheme="minorHAnsi"/>
          <w:sz w:val="24"/>
          <w:szCs w:val="24"/>
        </w:rPr>
        <w:t>Taha</w:t>
      </w:r>
      <w:proofErr w:type="spellEnd"/>
      <w:r w:rsidR="00607792">
        <w:rPr>
          <w:rFonts w:cstheme="minorHAnsi"/>
          <w:sz w:val="24"/>
          <w:szCs w:val="24"/>
        </w:rPr>
        <w:t>, 2021, p. 13</w:t>
      </w:r>
      <w:bookmarkStart w:id="0" w:name="_GoBack"/>
      <w:bookmarkEnd w:id="0"/>
      <w:r w:rsidRPr="00A9659C">
        <w:rPr>
          <w:rFonts w:cstheme="minorHAnsi"/>
          <w:sz w:val="24"/>
          <w:szCs w:val="24"/>
        </w:rPr>
        <w:t>). Given that Mr. Singh has cataracts, he needs effective support to have his breakfast. Thus, I will offer him food in contrasting colors plates so that he could easily distinguish between food items. I will make a similar pattern and always arrange his food items in a clockwise order which will help to reach each food item easily because of familiarity. All these steps will reduce frustration and develop a sense of independence in Mr. Singh while having breakfast</w:t>
      </w:r>
      <w:r w:rsidR="00A9659C" w:rsidRPr="00A9659C">
        <w:rPr>
          <w:rFonts w:cstheme="minorHAnsi"/>
          <w:sz w:val="24"/>
          <w:szCs w:val="24"/>
        </w:rPr>
        <w:t>.</w:t>
      </w:r>
    </w:p>
    <w:p w:rsidR="009C40E7" w:rsidRPr="009C40E7" w:rsidRDefault="009C40E7" w:rsidP="009C40E7">
      <w:pPr>
        <w:spacing w:line="480" w:lineRule="auto"/>
        <w:jc w:val="center"/>
        <w:rPr>
          <w:rFonts w:cstheme="minorHAnsi"/>
          <w:b/>
          <w:bCs/>
          <w:sz w:val="24"/>
          <w:szCs w:val="24"/>
        </w:rPr>
      </w:pPr>
      <w:r w:rsidRPr="009C40E7">
        <w:rPr>
          <w:rFonts w:cstheme="minorHAnsi"/>
          <w:b/>
          <w:bCs/>
          <w:sz w:val="24"/>
          <w:szCs w:val="24"/>
        </w:rPr>
        <w:t>Blood Pressure Assessment and Management</w:t>
      </w:r>
    </w:p>
    <w:p w:rsidR="00E6629B" w:rsidRPr="00A9659C" w:rsidRDefault="009C40E7" w:rsidP="009C40E7">
      <w:pPr>
        <w:spacing w:line="480" w:lineRule="auto"/>
        <w:ind w:firstLine="720"/>
        <w:rPr>
          <w:rFonts w:cstheme="minorHAnsi"/>
          <w:sz w:val="24"/>
          <w:szCs w:val="24"/>
        </w:rPr>
      </w:pPr>
      <w:r w:rsidRPr="009C40E7">
        <w:rPr>
          <w:rFonts w:cstheme="minorHAnsi"/>
          <w:sz w:val="24"/>
          <w:szCs w:val="24"/>
        </w:rPr>
        <w:t xml:space="preserve">In order to measure the blood pressure, I will make him sit in a comfortable chair and make his arm reach at heart level. I will use an appropriate size cuff, obtain 2 readings after regular intervals, and calculate the average value. If the blood pressure value is 180/100, it is indicative of hypertension and requires immediate intervention. I will assess his symptoms and alter the healthcare team because hypertension can be indicative of a cardiovascular event. I </w:t>
      </w:r>
      <w:r w:rsidRPr="009C40E7">
        <w:rPr>
          <w:rFonts w:cstheme="minorHAnsi"/>
          <w:sz w:val="24"/>
          <w:szCs w:val="24"/>
        </w:rPr>
        <w:lastRenderedPageBreak/>
        <w:t>will administer him antihypertensive medication, monitor his blood pressure regularly, and document the findings.</w:t>
      </w:r>
    </w:p>
    <w:p w:rsidR="00C74408" w:rsidRDefault="009C40E7" w:rsidP="009C40E7">
      <w:pPr>
        <w:jc w:val="center"/>
        <w:rPr>
          <w:rFonts w:cstheme="minorHAnsi"/>
          <w:b/>
          <w:bCs/>
          <w:sz w:val="24"/>
          <w:szCs w:val="24"/>
        </w:rPr>
      </w:pPr>
      <w:r w:rsidRPr="009C40E7">
        <w:rPr>
          <w:rFonts w:cstheme="minorHAnsi"/>
          <w:b/>
          <w:bCs/>
          <w:sz w:val="24"/>
          <w:szCs w:val="24"/>
        </w:rPr>
        <w:t>References</w:t>
      </w:r>
    </w:p>
    <w:p w:rsidR="00BD3140" w:rsidRPr="002F49B8" w:rsidRDefault="00BD3140" w:rsidP="00BD3140">
      <w:pPr>
        <w:spacing w:line="480" w:lineRule="auto"/>
        <w:ind w:left="785" w:hangingChars="327" w:hanging="785"/>
        <w:rPr>
          <w:rFonts w:cstheme="minorHAnsi"/>
          <w:sz w:val="24"/>
          <w:szCs w:val="24"/>
          <w:shd w:val="clear" w:color="auto" w:fill="FFFFFF"/>
        </w:rPr>
      </w:pPr>
      <w:proofErr w:type="gramStart"/>
      <w:r w:rsidRPr="002F49B8">
        <w:rPr>
          <w:rFonts w:cstheme="minorHAnsi"/>
          <w:sz w:val="24"/>
          <w:szCs w:val="24"/>
          <w:shd w:val="clear" w:color="auto" w:fill="FFFFFF"/>
        </w:rPr>
        <w:t>Rodriguez-</w:t>
      </w:r>
      <w:proofErr w:type="spellStart"/>
      <w:r w:rsidRPr="002F49B8">
        <w:rPr>
          <w:rFonts w:cstheme="minorHAnsi"/>
          <w:sz w:val="24"/>
          <w:szCs w:val="24"/>
          <w:shd w:val="clear" w:color="auto" w:fill="FFFFFF"/>
        </w:rPr>
        <w:t>Archilla</w:t>
      </w:r>
      <w:proofErr w:type="spellEnd"/>
      <w:r w:rsidRPr="002F49B8">
        <w:rPr>
          <w:rFonts w:cstheme="minorHAnsi"/>
          <w:sz w:val="24"/>
          <w:szCs w:val="24"/>
          <w:shd w:val="clear" w:color="auto" w:fill="FFFFFF"/>
        </w:rPr>
        <w:t>, A., &amp; Garcia-Galan, C. (2020).</w:t>
      </w:r>
      <w:proofErr w:type="gramEnd"/>
      <w:r w:rsidRPr="002F49B8">
        <w:rPr>
          <w:rFonts w:cstheme="minorHAnsi"/>
          <w:sz w:val="24"/>
          <w:szCs w:val="24"/>
          <w:shd w:val="clear" w:color="auto" w:fill="FFFFFF"/>
        </w:rPr>
        <w:t xml:space="preserve"> Etiological factors related to denture stomatitis: A meta-analysis. </w:t>
      </w:r>
      <w:r w:rsidRPr="002F49B8">
        <w:rPr>
          <w:rFonts w:cstheme="minorHAnsi"/>
          <w:i/>
          <w:iCs/>
          <w:sz w:val="24"/>
          <w:szCs w:val="24"/>
          <w:shd w:val="clear" w:color="auto" w:fill="FFFFFF"/>
        </w:rPr>
        <w:t>Dentistry and Medical Research</w:t>
      </w:r>
      <w:r w:rsidRPr="002F49B8">
        <w:rPr>
          <w:rFonts w:cstheme="minorHAnsi"/>
          <w:sz w:val="24"/>
          <w:szCs w:val="24"/>
          <w:shd w:val="clear" w:color="auto" w:fill="FFFFFF"/>
        </w:rPr>
        <w:t>, </w:t>
      </w:r>
      <w:r w:rsidRPr="002F49B8">
        <w:rPr>
          <w:rFonts w:cstheme="minorHAnsi"/>
          <w:i/>
          <w:iCs/>
          <w:sz w:val="24"/>
          <w:szCs w:val="24"/>
          <w:shd w:val="clear" w:color="auto" w:fill="FFFFFF"/>
        </w:rPr>
        <w:t>8</w:t>
      </w:r>
      <w:r w:rsidRPr="002F49B8">
        <w:rPr>
          <w:rFonts w:cstheme="minorHAnsi"/>
          <w:sz w:val="24"/>
          <w:szCs w:val="24"/>
          <w:shd w:val="clear" w:color="auto" w:fill="FFFFFF"/>
        </w:rPr>
        <w:t xml:space="preserve">(2), 37-42. </w:t>
      </w:r>
      <w:hyperlink r:id="rId7" w:history="1">
        <w:r w:rsidRPr="002F49B8">
          <w:rPr>
            <w:rStyle w:val="Hyperlink"/>
            <w:rFonts w:cstheme="minorHAnsi"/>
            <w:color w:val="auto"/>
            <w:sz w:val="24"/>
            <w:szCs w:val="24"/>
            <w:shd w:val="clear" w:color="auto" w:fill="FFFFFF"/>
          </w:rPr>
          <w:t>https://doi.org/10.4103/dmr.dmr_26_20</w:t>
        </w:r>
      </w:hyperlink>
    </w:p>
    <w:p w:rsidR="00BD3140" w:rsidRPr="002F49B8" w:rsidRDefault="00BD3140" w:rsidP="00BD3140">
      <w:pPr>
        <w:spacing w:line="480" w:lineRule="auto"/>
        <w:ind w:left="785" w:hangingChars="327" w:hanging="785"/>
        <w:rPr>
          <w:rFonts w:cstheme="minorHAnsi"/>
          <w:sz w:val="24"/>
          <w:szCs w:val="24"/>
          <w:shd w:val="clear" w:color="auto" w:fill="FFFFFF"/>
        </w:rPr>
      </w:pPr>
      <w:proofErr w:type="gramStart"/>
      <w:r w:rsidRPr="002F49B8">
        <w:rPr>
          <w:rFonts w:cstheme="minorHAnsi"/>
          <w:sz w:val="24"/>
          <w:szCs w:val="24"/>
          <w:shd w:val="clear" w:color="auto" w:fill="FFFFFF"/>
        </w:rPr>
        <w:t xml:space="preserve">Swan, K., Hopper, M., </w:t>
      </w:r>
      <w:proofErr w:type="spellStart"/>
      <w:r w:rsidRPr="002F49B8">
        <w:rPr>
          <w:rFonts w:cstheme="minorHAnsi"/>
          <w:sz w:val="24"/>
          <w:szCs w:val="24"/>
          <w:shd w:val="clear" w:color="auto" w:fill="FFFFFF"/>
        </w:rPr>
        <w:t>Wenke</w:t>
      </w:r>
      <w:proofErr w:type="spellEnd"/>
      <w:r w:rsidRPr="002F49B8">
        <w:rPr>
          <w:rFonts w:cstheme="minorHAnsi"/>
          <w:sz w:val="24"/>
          <w:szCs w:val="24"/>
          <w:shd w:val="clear" w:color="auto" w:fill="FFFFFF"/>
        </w:rPr>
        <w:t>, R., Jackson, C., Till, T., &amp; Conway, E. (2018).</w:t>
      </w:r>
      <w:proofErr w:type="gramEnd"/>
      <w:r w:rsidRPr="002F49B8">
        <w:rPr>
          <w:rFonts w:cstheme="minorHAnsi"/>
          <w:sz w:val="24"/>
          <w:szCs w:val="24"/>
          <w:shd w:val="clear" w:color="auto" w:fill="FFFFFF"/>
        </w:rPr>
        <w:t xml:space="preserve"> Speech-language pathologist interventions for communication in moderate–severe dementia: A systematic review. </w:t>
      </w:r>
      <w:proofErr w:type="gramStart"/>
      <w:r w:rsidRPr="002F49B8">
        <w:rPr>
          <w:rFonts w:cstheme="minorHAnsi"/>
          <w:i/>
          <w:iCs/>
          <w:sz w:val="24"/>
          <w:szCs w:val="24"/>
          <w:shd w:val="clear" w:color="auto" w:fill="FFFFFF"/>
        </w:rPr>
        <w:t>American journal of speech-language pathology</w:t>
      </w:r>
      <w:r w:rsidRPr="002F49B8">
        <w:rPr>
          <w:rFonts w:cstheme="minorHAnsi"/>
          <w:sz w:val="24"/>
          <w:szCs w:val="24"/>
          <w:shd w:val="clear" w:color="auto" w:fill="FFFFFF"/>
        </w:rPr>
        <w:t>, </w:t>
      </w:r>
      <w:r w:rsidRPr="002F49B8">
        <w:rPr>
          <w:rFonts w:cstheme="minorHAnsi"/>
          <w:i/>
          <w:iCs/>
          <w:sz w:val="24"/>
          <w:szCs w:val="24"/>
          <w:shd w:val="clear" w:color="auto" w:fill="FFFFFF"/>
        </w:rPr>
        <w:t>27</w:t>
      </w:r>
      <w:r w:rsidRPr="002F49B8">
        <w:rPr>
          <w:rFonts w:cstheme="minorHAnsi"/>
          <w:sz w:val="24"/>
          <w:szCs w:val="24"/>
          <w:shd w:val="clear" w:color="auto" w:fill="FFFFFF"/>
        </w:rPr>
        <w:t>(2), 836-852.</w:t>
      </w:r>
      <w:proofErr w:type="gramEnd"/>
      <w:r w:rsidRPr="002F49B8">
        <w:rPr>
          <w:rFonts w:cstheme="minorHAnsi"/>
          <w:sz w:val="24"/>
          <w:szCs w:val="24"/>
          <w:shd w:val="clear" w:color="auto" w:fill="FFFFFF"/>
        </w:rPr>
        <w:t xml:space="preserve"> </w:t>
      </w:r>
      <w:hyperlink r:id="rId8" w:history="1">
        <w:r w:rsidRPr="002F49B8">
          <w:rPr>
            <w:rStyle w:val="Hyperlink"/>
            <w:rFonts w:cstheme="minorHAnsi"/>
            <w:color w:val="auto"/>
            <w:sz w:val="24"/>
            <w:szCs w:val="24"/>
            <w:shd w:val="clear" w:color="auto" w:fill="FFFFFF"/>
          </w:rPr>
          <w:t>https://doi.org/10.1044/2017_AJSLP-17-0043</w:t>
        </w:r>
      </w:hyperlink>
    </w:p>
    <w:p w:rsidR="00BD3140" w:rsidRPr="002F49B8" w:rsidRDefault="00BD3140" w:rsidP="00BD3140">
      <w:pPr>
        <w:spacing w:line="480" w:lineRule="auto"/>
        <w:ind w:left="785" w:hangingChars="327" w:hanging="785"/>
        <w:rPr>
          <w:rFonts w:cstheme="minorHAnsi"/>
          <w:sz w:val="24"/>
          <w:szCs w:val="24"/>
        </w:rPr>
      </w:pPr>
      <w:proofErr w:type="spellStart"/>
      <w:r w:rsidRPr="002F49B8">
        <w:rPr>
          <w:rFonts w:cstheme="minorHAnsi"/>
          <w:sz w:val="24"/>
          <w:szCs w:val="24"/>
          <w:shd w:val="clear" w:color="auto" w:fill="FFFFFF"/>
        </w:rPr>
        <w:t>Taha</w:t>
      </w:r>
      <w:proofErr w:type="spellEnd"/>
      <w:r w:rsidRPr="002F49B8">
        <w:rPr>
          <w:rFonts w:cstheme="minorHAnsi"/>
          <w:sz w:val="24"/>
          <w:szCs w:val="24"/>
          <w:shd w:val="clear" w:color="auto" w:fill="FFFFFF"/>
        </w:rPr>
        <w:t xml:space="preserve">, A. S. (2021). </w:t>
      </w:r>
      <w:proofErr w:type="gramStart"/>
      <w:r w:rsidRPr="002F49B8">
        <w:rPr>
          <w:rFonts w:cstheme="minorHAnsi"/>
          <w:sz w:val="24"/>
          <w:szCs w:val="24"/>
          <w:shd w:val="clear" w:color="auto" w:fill="FFFFFF"/>
        </w:rPr>
        <w:t>Effectiveness of Nursing Intervention Protocol on Nurses’ Performance and Patients’ Self-Care after Cataract Surgery.</w:t>
      </w:r>
      <w:proofErr w:type="gramEnd"/>
      <w:r w:rsidRPr="002F49B8">
        <w:rPr>
          <w:rFonts w:cstheme="minorHAnsi"/>
          <w:sz w:val="24"/>
          <w:szCs w:val="24"/>
          <w:shd w:val="clear" w:color="auto" w:fill="FFFFFF"/>
        </w:rPr>
        <w:t> </w:t>
      </w:r>
      <w:proofErr w:type="gramStart"/>
      <w:r w:rsidRPr="002F49B8">
        <w:rPr>
          <w:rFonts w:cstheme="minorHAnsi"/>
          <w:i/>
          <w:iCs/>
          <w:sz w:val="24"/>
          <w:szCs w:val="24"/>
          <w:shd w:val="clear" w:color="auto" w:fill="FFFFFF"/>
        </w:rPr>
        <w:t>Evidence-Based Nursing Research</w:t>
      </w:r>
      <w:r w:rsidRPr="002F49B8">
        <w:rPr>
          <w:rFonts w:cstheme="minorHAnsi"/>
          <w:sz w:val="24"/>
          <w:szCs w:val="24"/>
          <w:shd w:val="clear" w:color="auto" w:fill="FFFFFF"/>
        </w:rPr>
        <w:t>, </w:t>
      </w:r>
      <w:r w:rsidRPr="002F49B8">
        <w:rPr>
          <w:rFonts w:cstheme="minorHAnsi"/>
          <w:i/>
          <w:iCs/>
          <w:sz w:val="24"/>
          <w:szCs w:val="24"/>
          <w:shd w:val="clear" w:color="auto" w:fill="FFFFFF"/>
        </w:rPr>
        <w:t>3</w:t>
      </w:r>
      <w:r w:rsidRPr="002F49B8">
        <w:rPr>
          <w:rFonts w:cstheme="minorHAnsi"/>
          <w:sz w:val="24"/>
          <w:szCs w:val="24"/>
          <w:shd w:val="clear" w:color="auto" w:fill="FFFFFF"/>
        </w:rPr>
        <w:t>(2).</w:t>
      </w:r>
      <w:proofErr w:type="gramEnd"/>
      <w:r w:rsidRPr="002F49B8">
        <w:rPr>
          <w:rFonts w:cstheme="minorHAnsi"/>
          <w:sz w:val="24"/>
          <w:szCs w:val="24"/>
          <w:shd w:val="clear" w:color="auto" w:fill="FFFFFF"/>
        </w:rPr>
        <w:t xml:space="preserve"> </w:t>
      </w:r>
      <w:hyperlink r:id="rId9" w:history="1">
        <w:r w:rsidRPr="002F49B8">
          <w:rPr>
            <w:rStyle w:val="Hyperlink"/>
            <w:rFonts w:cstheme="minorHAnsi"/>
            <w:color w:val="auto"/>
            <w:sz w:val="24"/>
            <w:szCs w:val="24"/>
          </w:rPr>
          <w:t>https://doi.org/10.47104/ebnrojs3.v3i2.190</w:t>
        </w:r>
      </w:hyperlink>
    </w:p>
    <w:p w:rsidR="00BD3140" w:rsidRPr="002F49B8" w:rsidRDefault="00BD3140" w:rsidP="00BD3140">
      <w:pPr>
        <w:spacing w:line="480" w:lineRule="auto"/>
        <w:ind w:left="785" w:hangingChars="327" w:hanging="785"/>
        <w:rPr>
          <w:rFonts w:cstheme="minorHAnsi"/>
          <w:sz w:val="24"/>
          <w:szCs w:val="24"/>
          <w:shd w:val="clear" w:color="auto" w:fill="FFFFFF"/>
        </w:rPr>
      </w:pPr>
      <w:proofErr w:type="gramStart"/>
      <w:r w:rsidRPr="002F49B8">
        <w:rPr>
          <w:rFonts w:cstheme="minorHAnsi"/>
          <w:sz w:val="24"/>
          <w:szCs w:val="24"/>
          <w:shd w:val="clear" w:color="auto" w:fill="FFFFFF"/>
        </w:rPr>
        <w:t xml:space="preserve">Troianello, T., </w:t>
      </w:r>
      <w:proofErr w:type="spellStart"/>
      <w:r w:rsidRPr="002F49B8">
        <w:rPr>
          <w:rFonts w:cstheme="minorHAnsi"/>
          <w:sz w:val="24"/>
          <w:szCs w:val="24"/>
          <w:shd w:val="clear" w:color="auto" w:fill="FFFFFF"/>
        </w:rPr>
        <w:t>Yancosek</w:t>
      </w:r>
      <w:proofErr w:type="spellEnd"/>
      <w:r w:rsidRPr="002F49B8">
        <w:rPr>
          <w:rFonts w:cstheme="minorHAnsi"/>
          <w:sz w:val="24"/>
          <w:szCs w:val="24"/>
          <w:shd w:val="clear" w:color="auto" w:fill="FFFFFF"/>
        </w:rPr>
        <w:t>, K., &amp; Rhee, P. C. (2019).</w:t>
      </w:r>
      <w:proofErr w:type="gramEnd"/>
      <w:r w:rsidRPr="002F49B8">
        <w:rPr>
          <w:rFonts w:cstheme="minorHAnsi"/>
          <w:sz w:val="24"/>
          <w:szCs w:val="24"/>
          <w:shd w:val="clear" w:color="auto" w:fill="FFFFFF"/>
        </w:rPr>
        <w:t xml:space="preserve"> </w:t>
      </w:r>
      <w:proofErr w:type="gramStart"/>
      <w:r w:rsidRPr="002F49B8">
        <w:rPr>
          <w:rFonts w:cstheme="minorHAnsi"/>
          <w:sz w:val="24"/>
          <w:szCs w:val="24"/>
          <w:shd w:val="clear" w:color="auto" w:fill="FFFFFF"/>
        </w:rPr>
        <w:t>Unilateral hand training on functional performance in patients with upper extremity trauma.</w:t>
      </w:r>
      <w:proofErr w:type="gramEnd"/>
      <w:r w:rsidRPr="002F49B8">
        <w:rPr>
          <w:rFonts w:cstheme="minorHAnsi"/>
          <w:sz w:val="24"/>
          <w:szCs w:val="24"/>
          <w:shd w:val="clear" w:color="auto" w:fill="FFFFFF"/>
        </w:rPr>
        <w:t> </w:t>
      </w:r>
      <w:r w:rsidRPr="002F49B8">
        <w:rPr>
          <w:rFonts w:cstheme="minorHAnsi"/>
          <w:i/>
          <w:iCs/>
          <w:sz w:val="24"/>
          <w:szCs w:val="24"/>
          <w:shd w:val="clear" w:color="auto" w:fill="FFFFFF"/>
        </w:rPr>
        <w:t>Journal of Hand Therapy</w:t>
      </w:r>
      <w:r w:rsidRPr="002F49B8">
        <w:rPr>
          <w:rFonts w:cstheme="minorHAnsi"/>
          <w:sz w:val="24"/>
          <w:szCs w:val="24"/>
          <w:shd w:val="clear" w:color="auto" w:fill="FFFFFF"/>
        </w:rPr>
        <w:t>, </w:t>
      </w:r>
      <w:r w:rsidRPr="002F49B8">
        <w:rPr>
          <w:rFonts w:cstheme="minorHAnsi"/>
          <w:i/>
          <w:iCs/>
          <w:sz w:val="24"/>
          <w:szCs w:val="24"/>
          <w:shd w:val="clear" w:color="auto" w:fill="FFFFFF"/>
        </w:rPr>
        <w:t>32</w:t>
      </w:r>
      <w:r w:rsidRPr="002F49B8">
        <w:rPr>
          <w:rFonts w:cstheme="minorHAnsi"/>
          <w:sz w:val="24"/>
          <w:szCs w:val="24"/>
          <w:shd w:val="clear" w:color="auto" w:fill="FFFFFF"/>
        </w:rPr>
        <w:t xml:space="preserve">(1), 25-34. </w:t>
      </w:r>
      <w:hyperlink r:id="rId10" w:history="1">
        <w:r w:rsidRPr="002F49B8">
          <w:rPr>
            <w:rStyle w:val="Hyperlink"/>
            <w:rFonts w:cstheme="minorHAnsi"/>
            <w:color w:val="auto"/>
            <w:sz w:val="24"/>
            <w:szCs w:val="24"/>
            <w:shd w:val="clear" w:color="auto" w:fill="FFFFFF"/>
          </w:rPr>
          <w:t>https://doi.org/10.1016/j.jht.2017.10.002</w:t>
        </w:r>
      </w:hyperlink>
    </w:p>
    <w:p w:rsidR="00BD3140" w:rsidRPr="002F49B8" w:rsidRDefault="00BD3140" w:rsidP="00BD3140">
      <w:pPr>
        <w:spacing w:line="480" w:lineRule="auto"/>
        <w:ind w:left="785" w:hangingChars="327" w:hanging="785"/>
        <w:rPr>
          <w:rFonts w:cstheme="minorHAnsi"/>
          <w:sz w:val="24"/>
          <w:szCs w:val="24"/>
          <w:shd w:val="clear" w:color="auto" w:fill="FFFFFF"/>
        </w:rPr>
      </w:pPr>
      <w:proofErr w:type="spellStart"/>
      <w:r w:rsidRPr="002F49B8">
        <w:rPr>
          <w:rFonts w:cstheme="minorHAnsi"/>
          <w:sz w:val="24"/>
          <w:szCs w:val="24"/>
          <w:shd w:val="clear" w:color="auto" w:fill="FFFFFF"/>
        </w:rPr>
        <w:t>Younas</w:t>
      </w:r>
      <w:proofErr w:type="spellEnd"/>
      <w:r w:rsidRPr="002F49B8">
        <w:rPr>
          <w:rFonts w:cstheme="minorHAnsi"/>
          <w:sz w:val="24"/>
          <w:szCs w:val="24"/>
          <w:shd w:val="clear" w:color="auto" w:fill="FFFFFF"/>
        </w:rPr>
        <w:t xml:space="preserve">, A. (2020). </w:t>
      </w:r>
      <w:proofErr w:type="gramStart"/>
      <w:r w:rsidRPr="002F49B8">
        <w:rPr>
          <w:rFonts w:cstheme="minorHAnsi"/>
          <w:sz w:val="24"/>
          <w:szCs w:val="24"/>
          <w:shd w:val="clear" w:color="auto" w:fill="FFFFFF"/>
        </w:rPr>
        <w:t>Relational inquiry approach for developing deeper awareness of patient suffering.</w:t>
      </w:r>
      <w:proofErr w:type="gramEnd"/>
      <w:r w:rsidRPr="002F49B8">
        <w:rPr>
          <w:rFonts w:cstheme="minorHAnsi"/>
          <w:sz w:val="24"/>
          <w:szCs w:val="24"/>
          <w:shd w:val="clear" w:color="auto" w:fill="FFFFFF"/>
        </w:rPr>
        <w:t> </w:t>
      </w:r>
      <w:proofErr w:type="gramStart"/>
      <w:r w:rsidRPr="002F49B8">
        <w:rPr>
          <w:rFonts w:cstheme="minorHAnsi"/>
          <w:i/>
          <w:iCs/>
          <w:sz w:val="24"/>
          <w:szCs w:val="24"/>
          <w:shd w:val="clear" w:color="auto" w:fill="FFFFFF"/>
        </w:rPr>
        <w:t>Nursing ethics</w:t>
      </w:r>
      <w:r w:rsidRPr="002F49B8">
        <w:rPr>
          <w:rFonts w:cstheme="minorHAnsi"/>
          <w:sz w:val="24"/>
          <w:szCs w:val="24"/>
          <w:shd w:val="clear" w:color="auto" w:fill="FFFFFF"/>
        </w:rPr>
        <w:t>, </w:t>
      </w:r>
      <w:r w:rsidRPr="002F49B8">
        <w:rPr>
          <w:rFonts w:cstheme="minorHAnsi"/>
          <w:i/>
          <w:iCs/>
          <w:sz w:val="24"/>
          <w:szCs w:val="24"/>
          <w:shd w:val="clear" w:color="auto" w:fill="FFFFFF"/>
        </w:rPr>
        <w:t>27</w:t>
      </w:r>
      <w:r w:rsidRPr="002F49B8">
        <w:rPr>
          <w:rFonts w:cstheme="minorHAnsi"/>
          <w:sz w:val="24"/>
          <w:szCs w:val="24"/>
          <w:shd w:val="clear" w:color="auto" w:fill="FFFFFF"/>
        </w:rPr>
        <w:t>(4), 935-945.</w:t>
      </w:r>
      <w:proofErr w:type="gramEnd"/>
      <w:r w:rsidRPr="002F49B8">
        <w:rPr>
          <w:rFonts w:cstheme="minorHAnsi"/>
          <w:sz w:val="24"/>
          <w:szCs w:val="24"/>
          <w:shd w:val="clear" w:color="auto" w:fill="FFFFFF"/>
        </w:rPr>
        <w:t xml:space="preserve"> </w:t>
      </w:r>
      <w:hyperlink r:id="rId11" w:history="1">
        <w:r w:rsidRPr="002F49B8">
          <w:rPr>
            <w:rStyle w:val="Hyperlink"/>
            <w:rFonts w:cstheme="minorHAnsi"/>
            <w:color w:val="auto"/>
            <w:sz w:val="24"/>
            <w:szCs w:val="24"/>
            <w:shd w:val="clear" w:color="auto" w:fill="FFFFFF"/>
          </w:rPr>
          <w:t>https://doi.org/10.1177/0969733020912523</w:t>
        </w:r>
      </w:hyperlink>
    </w:p>
    <w:p w:rsidR="009C40E7" w:rsidRPr="009C40E7" w:rsidRDefault="009C40E7" w:rsidP="009C40E7">
      <w:pPr>
        <w:rPr>
          <w:rFonts w:cstheme="minorHAnsi"/>
          <w:b/>
          <w:bCs/>
          <w:sz w:val="24"/>
          <w:szCs w:val="24"/>
        </w:rPr>
      </w:pPr>
    </w:p>
    <w:sectPr w:rsidR="009C40E7" w:rsidRPr="009C40E7">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4BA" w:rsidRDefault="003554BA" w:rsidP="002321FE">
      <w:pPr>
        <w:spacing w:after="0" w:line="240" w:lineRule="auto"/>
      </w:pPr>
      <w:r>
        <w:separator/>
      </w:r>
    </w:p>
  </w:endnote>
  <w:endnote w:type="continuationSeparator" w:id="0">
    <w:p w:rsidR="003554BA" w:rsidRDefault="003554BA" w:rsidP="00232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4BA" w:rsidRDefault="003554BA" w:rsidP="002321FE">
      <w:pPr>
        <w:spacing w:after="0" w:line="240" w:lineRule="auto"/>
      </w:pPr>
      <w:r>
        <w:separator/>
      </w:r>
    </w:p>
  </w:footnote>
  <w:footnote w:type="continuationSeparator" w:id="0">
    <w:p w:rsidR="003554BA" w:rsidRDefault="003554BA" w:rsidP="002321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0476596"/>
      <w:docPartObj>
        <w:docPartGallery w:val="Page Numbers (Top of Page)"/>
        <w:docPartUnique/>
      </w:docPartObj>
    </w:sdtPr>
    <w:sdtEndPr>
      <w:rPr>
        <w:noProof/>
      </w:rPr>
    </w:sdtEndPr>
    <w:sdtContent>
      <w:p w:rsidR="002321FE" w:rsidRDefault="002321FE">
        <w:pPr>
          <w:pStyle w:val="Header"/>
          <w:jc w:val="right"/>
        </w:pPr>
        <w:r>
          <w:fldChar w:fldCharType="begin"/>
        </w:r>
        <w:r>
          <w:instrText xml:space="preserve"> PAGE   \* MERGEFORMAT </w:instrText>
        </w:r>
        <w:r>
          <w:fldChar w:fldCharType="separate"/>
        </w:r>
        <w:r w:rsidR="00607792">
          <w:rPr>
            <w:noProof/>
          </w:rPr>
          <w:t>4</w:t>
        </w:r>
        <w:r>
          <w:rPr>
            <w:noProof/>
          </w:rPr>
          <w:fldChar w:fldCharType="end"/>
        </w:r>
      </w:p>
    </w:sdtContent>
  </w:sdt>
  <w:p w:rsidR="002321FE" w:rsidRDefault="002321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1FE"/>
    <w:rsid w:val="000A4CD8"/>
    <w:rsid w:val="00123F6A"/>
    <w:rsid w:val="002321FE"/>
    <w:rsid w:val="00244502"/>
    <w:rsid w:val="003554BA"/>
    <w:rsid w:val="004E513E"/>
    <w:rsid w:val="005F15E5"/>
    <w:rsid w:val="00607792"/>
    <w:rsid w:val="0073712F"/>
    <w:rsid w:val="0076414A"/>
    <w:rsid w:val="008444C1"/>
    <w:rsid w:val="008E7E43"/>
    <w:rsid w:val="008F4B0A"/>
    <w:rsid w:val="009C40E7"/>
    <w:rsid w:val="009D60B6"/>
    <w:rsid w:val="009F4A21"/>
    <w:rsid w:val="00A9659C"/>
    <w:rsid w:val="00AB555A"/>
    <w:rsid w:val="00AE0ACE"/>
    <w:rsid w:val="00BD3140"/>
    <w:rsid w:val="00C53AE3"/>
    <w:rsid w:val="00C54139"/>
    <w:rsid w:val="00C74408"/>
    <w:rsid w:val="00DD35BF"/>
    <w:rsid w:val="00E576ED"/>
    <w:rsid w:val="00E6629B"/>
    <w:rsid w:val="00EC39AC"/>
    <w:rsid w:val="00F21E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1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1FE"/>
  </w:style>
  <w:style w:type="paragraph" w:styleId="Footer">
    <w:name w:val="footer"/>
    <w:basedOn w:val="Normal"/>
    <w:link w:val="FooterChar"/>
    <w:uiPriority w:val="99"/>
    <w:unhideWhenUsed/>
    <w:rsid w:val="00232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1FE"/>
  </w:style>
  <w:style w:type="character" w:styleId="Hyperlink">
    <w:name w:val="Hyperlink"/>
    <w:basedOn w:val="DefaultParagraphFont"/>
    <w:uiPriority w:val="99"/>
    <w:unhideWhenUsed/>
    <w:rsid w:val="00BD314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1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1FE"/>
  </w:style>
  <w:style w:type="paragraph" w:styleId="Footer">
    <w:name w:val="footer"/>
    <w:basedOn w:val="Normal"/>
    <w:link w:val="FooterChar"/>
    <w:uiPriority w:val="99"/>
    <w:unhideWhenUsed/>
    <w:rsid w:val="00232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1FE"/>
  </w:style>
  <w:style w:type="character" w:styleId="Hyperlink">
    <w:name w:val="Hyperlink"/>
    <w:basedOn w:val="DefaultParagraphFont"/>
    <w:uiPriority w:val="99"/>
    <w:unhideWhenUsed/>
    <w:rsid w:val="00BD31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44/2017_AJSLP-17-004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4103/dmr.dmr_26_20"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i.org/10.1177/0969733020912523" TargetMode="External"/><Relationship Id="rId5" Type="http://schemas.openxmlformats.org/officeDocument/2006/relationships/footnotes" Target="footnotes.xml"/><Relationship Id="rId10" Type="http://schemas.openxmlformats.org/officeDocument/2006/relationships/hyperlink" Target="https://doi.org/10.1016/j.jht.2017.10.002" TargetMode="External"/><Relationship Id="rId4" Type="http://schemas.openxmlformats.org/officeDocument/2006/relationships/webSettings" Target="webSettings.xml"/><Relationship Id="rId9" Type="http://schemas.openxmlformats.org/officeDocument/2006/relationships/hyperlink" Target="https://doi.org/10.47104/ebnrojs3.v3i2.19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1030</Words>
  <Characters>5875</Characters>
  <Application>Microsoft Office Word</Application>
  <DocSecurity>0</DocSecurity>
  <Lines>48</Lines>
  <Paragraphs>13</Paragraphs>
  <ScaleCrop>false</ScaleCrop>
  <Company/>
  <LinksUpToDate>false</LinksUpToDate>
  <CharactersWithSpaces>6892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25</cp:revision>
  <dcterms:created xsi:type="dcterms:W3CDTF">2024-11-04T12:50:00Z</dcterms:created>
  <dcterms:modified xsi:type="dcterms:W3CDTF">2024-11-14T14:49:00Z</dcterms:modified>
</cp:coreProperties>
</file>